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510169</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RAN4 impacts for 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4"/>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4"/>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4"/>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4"/>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4"/>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w:t>
      </w:r>
      <w:r>
        <w:rPr>
          <w:rFonts w:hint="eastAsia" w:ascii="Times New Roman" w:hAnsi="Times New Roman" w:eastAsia="宋体"/>
          <w:sz w:val="20"/>
          <w:szCs w:val="20"/>
          <w:lang w:val="en-US" w:eastAsia="zh-CN"/>
        </w:rPr>
        <w:t>n AI/ML for mobility, an</w:t>
      </w:r>
      <w:r>
        <w:rPr>
          <w:rFonts w:hint="eastAsia" w:ascii="Times New Roman" w:hAnsi="Times New Roman"/>
          <w:sz w:val="20"/>
          <w:szCs w:val="20"/>
          <w:lang w:val="en-US" w:eastAsia="zh-CN"/>
        </w:rPr>
        <w:t xml:space="preserve">d a WF was agreed [2].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7A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5C9C141">
            <w:pPr>
              <w:snapToGrid w:val="0"/>
              <w:spacing w:after="120"/>
              <w:rPr>
                <w:rFonts w:hint="default" w:ascii="Times New Roman" w:hAnsi="Times New Roman" w:cs="Times New Roman"/>
                <w:sz w:val="20"/>
                <w:szCs w:val="20"/>
                <w:highlight w:val="green"/>
                <w:lang w:val="sv-SE" w:eastAsia="zh-CN"/>
              </w:rPr>
            </w:pPr>
            <w:r>
              <w:rPr>
                <w:rFonts w:hint="default" w:ascii="Times New Roman" w:hAnsi="Times New Roman" w:cs="Times New Roman"/>
                <w:b/>
                <w:sz w:val="20"/>
                <w:szCs w:val="20"/>
                <w:u w:val="single"/>
              </w:rPr>
              <w:t>Issue 3-1: Performance metric for event prediction use case</w:t>
            </w:r>
          </w:p>
          <w:p w14:paraId="347FB8BD">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F9E6FD1">
            <w:pPr>
              <w:snapToGrid w:val="0"/>
              <w:spacing w:before="100" w:beforeAutospacing="1" w:after="12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433BF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last meeting, it was agreed that in case of indirect measurement event prediction use case, if the report includes the predicted RSRPs [corresponding to the predicted event occurrence time], RAN4 will define requirement for the absolute and/or relative accuracy of predicted RSRP. And in our view, to reduce RAN4 workload, the conclusion on RRM measurement prediction can be reused for the absolute and/or relative accuracy of predicted RSRP.</w:t>
      </w:r>
    </w:p>
    <w:p w14:paraId="1D368FB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RAN2 agreements, for measurement event prediction, event A3 is taken as baseline. Both </w:t>
      </w:r>
      <w:r>
        <w:rPr>
          <w:rFonts w:hint="default" w:ascii="Times New Roman" w:hAnsi="Times New Roman" w:cs="Times New Roman"/>
          <w:b w:val="0"/>
          <w:bCs/>
          <w:sz w:val="20"/>
          <w:szCs w:val="20"/>
        </w:rPr>
        <w:t>indirect measurement event prediction</w:t>
      </w:r>
      <w:r>
        <w:rPr>
          <w:rFonts w:hint="eastAsia" w:ascii="Times New Roman" w:hAnsi="Times New Roman" w:cs="Times New Roman"/>
          <w:b w:val="0"/>
          <w:bCs/>
          <w:sz w:val="20"/>
          <w:szCs w:val="20"/>
          <w:lang w:val="en-US" w:eastAsia="zh-CN"/>
        </w:rPr>
        <w:t xml:space="preserve"> and </w:t>
      </w:r>
      <w:r>
        <w:rPr>
          <w:rFonts w:hint="default" w:ascii="Times New Roman" w:hAnsi="Times New Roman" w:cs="Times New Roman"/>
          <w:b w:val="0"/>
          <w:bCs/>
          <w:sz w:val="20"/>
          <w:szCs w:val="20"/>
        </w:rPr>
        <w:t>direct measurement event prediction</w:t>
      </w:r>
      <w:r>
        <w:rPr>
          <w:rFonts w:hint="eastAsia" w:ascii="Times New Roman" w:hAnsi="Times New Roman" w:cs="Times New Roman"/>
          <w:b w:val="0"/>
          <w:bCs/>
          <w:sz w:val="20"/>
          <w:szCs w:val="20"/>
          <w:lang w:val="en-US" w:eastAsia="zh-CN"/>
        </w:rPr>
        <w:t xml:space="preserve"> are supported.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2B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44CD3BF">
            <w:pPr>
              <w:spacing w:before="240" w:after="160" w:line="280" w:lineRule="atLeast"/>
              <w:jc w:val="both"/>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w:t>
            </w:r>
            <w:r>
              <w:rPr>
                <w:rFonts w:hint="eastAsia" w:ascii="Times New Roman" w:hAnsi="Times New Roman" w:cs="Times New Roman"/>
                <w:b/>
                <w:bCs/>
                <w:sz w:val="20"/>
                <w:szCs w:val="20"/>
                <w:u w:val="single"/>
                <w:lang w:val="en-US" w:eastAsia="zh-CN"/>
              </w:rPr>
              <w:t xml:space="preserve"> </w:t>
            </w:r>
            <w:r>
              <w:rPr>
                <w:rFonts w:hint="default" w:ascii="Times New Roman" w:hAnsi="Times New Roman" w:cs="Times New Roman"/>
                <w:b/>
                <w:bCs/>
                <w:sz w:val="20"/>
                <w:szCs w:val="20"/>
                <w:u w:val="single"/>
                <w:lang w:val="en-US" w:eastAsia="zh-CN"/>
              </w:rPr>
              <w:t>in RAN2#12</w:t>
            </w:r>
            <w:r>
              <w:rPr>
                <w:rFonts w:hint="eastAsia" w:ascii="Times New Roman" w:hAnsi="Times New Roman" w:cs="Times New Roman"/>
                <w:b/>
                <w:bCs/>
                <w:sz w:val="20"/>
                <w:szCs w:val="20"/>
                <w:u w:val="single"/>
                <w:lang w:val="en-US" w:eastAsia="zh-CN"/>
              </w:rPr>
              <w:t>5</w:t>
            </w:r>
            <w:r>
              <w:rPr>
                <w:rFonts w:hint="default" w:ascii="Times New Roman" w:hAnsi="Times New Roman" w:cs="Times New Roman"/>
                <w:b/>
                <w:bCs/>
                <w:sz w:val="20"/>
                <w:szCs w:val="20"/>
                <w:u w:val="single"/>
                <w:lang w:val="en-US" w:eastAsia="zh-CN"/>
              </w:rPr>
              <w:t>bis:</w:t>
            </w:r>
          </w:p>
          <w:p w14:paraId="5AE422DD">
            <w:pPr>
              <w:numPr>
                <w:ilvl w:val="0"/>
                <w:numId w:val="5"/>
              </w:numPr>
              <w:spacing w:before="240" w:after="160" w:line="280" w:lineRule="atLeast"/>
              <w:ind w:left="420" w:leftChars="0" w:hanging="420" w:firstLineChars="0"/>
              <w:jc w:val="both"/>
              <w:rPr>
                <w:rFonts w:hint="default" w:ascii="Times New Roman" w:hAnsi="Times New Roman" w:cs="Times New Roman"/>
                <w:b w:val="0"/>
                <w:bCs w:val="0"/>
                <w:sz w:val="20"/>
                <w:szCs w:val="20"/>
                <w:u w:val="none"/>
                <w:lang w:val="en-US" w:eastAsia="zh-CN"/>
              </w:rPr>
            </w:pPr>
            <w:r>
              <w:rPr>
                <w:rFonts w:hint="default" w:ascii="Times New Roman" w:hAnsi="Times New Roman" w:cs="Times New Roman"/>
                <w:b w:val="0"/>
                <w:bCs w:val="0"/>
                <w:sz w:val="20"/>
                <w:szCs w:val="20"/>
                <w:u w:val="none"/>
                <w:lang w:val="en-US" w:eastAsia="zh-CN"/>
              </w:rPr>
              <w:t xml:space="preserve">At least measurement event evaluation based on RRM measurement prediction result will be studied.   Direct measurement event prediction are is also allowed.    </w:t>
            </w:r>
          </w:p>
          <w:p w14:paraId="25C0EA35">
            <w:pPr>
              <w:numPr>
                <w:ilvl w:val="0"/>
                <w:numId w:val="5"/>
              </w:numPr>
              <w:spacing w:before="240" w:after="160" w:line="280" w:lineRule="atLeast"/>
              <w:ind w:left="420" w:leftChars="0" w:hanging="420" w:firstLineChars="0"/>
              <w:jc w:val="both"/>
              <w:rPr>
                <w:rFonts w:hint="default" w:ascii="Times New Roman" w:hAnsi="Times New Roman" w:cs="Times New Roman"/>
                <w:b/>
                <w:bCs/>
                <w:sz w:val="20"/>
                <w:szCs w:val="20"/>
                <w:u w:val="single"/>
                <w:lang w:val="en-US" w:eastAsia="zh-CN"/>
              </w:rPr>
            </w:pPr>
            <w:r>
              <w:rPr>
                <w:rFonts w:hint="default" w:ascii="Times New Roman" w:hAnsi="Times New Roman" w:cs="Times New Roman"/>
                <w:b w:val="0"/>
                <w:bCs w:val="0"/>
                <w:sz w:val="20"/>
                <w:szCs w:val="20"/>
                <w:u w:val="none"/>
                <w:lang w:val="en-US" w:eastAsia="zh-CN"/>
              </w:rPr>
              <w:t xml:space="preserve">Start with A3 as a baseline. </w:t>
            </w:r>
          </w:p>
          <w:p w14:paraId="141ACAD4">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3EA98C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w:t>
            </w:r>
          </w:p>
          <w:p w14:paraId="7FA5830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Measurement event prediction simulations will at least focus on intra-frequency FR2, case A, and second study goal (i.e. HO KPI improvement).   FFS what is KPI.  </w:t>
            </w:r>
          </w:p>
          <w:p w14:paraId="5B0C202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Companies can bring simulation results for intra-frequency measurement reduction for FR1 and report what they are doing.  Focus on temporal case B.    </w:t>
            </w:r>
          </w:p>
          <w:p w14:paraId="4B037192">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Companies will prioritize simulations on indirect method.   Companies can bring simulations on direct method and should report what method is being used.</w:t>
            </w:r>
          </w:p>
          <w:p w14:paraId="2E380E0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Measurement event prediction results are expected in RAN2#129</w:t>
            </w:r>
          </w:p>
          <w:p w14:paraId="37AF7F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singl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simulation assumptions</w:t>
            </w:r>
          </w:p>
          <w:p w14:paraId="677301F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Companies will focus on sub-case 2 for measurement event prediction.   Companies can simulate other sub-cases if they wish and report what they are using. </w:t>
            </w:r>
          </w:p>
          <w:p w14:paraId="46D380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99C0F4D">
            <w:pPr>
              <w:pStyle w:val="16"/>
              <w:numPr>
                <w:ilvl w:val="0"/>
                <w:numId w:val="7"/>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7303E8F1">
            <w:pPr>
              <w:pStyle w:val="16"/>
              <w:numPr>
                <w:ilvl w:val="0"/>
                <w:numId w:val="7"/>
              </w:numPr>
              <w:overflowPunct/>
              <w:autoSpaceDE/>
              <w:autoSpaceDN/>
              <w:adjustRightInd/>
              <w:ind w:left="360"/>
              <w:textAlignment w:val="auto"/>
              <w:rPr>
                <w:rFonts w:hint="default" w:ascii="Times New Roman" w:hAnsi="Times New Roman" w:cs="Times New Roman"/>
                <w:b w:val="0"/>
                <w:bCs/>
                <w:sz w:val="20"/>
                <w:szCs w:val="20"/>
                <w:highlight w:val="cyan"/>
              </w:rPr>
            </w:pPr>
            <w:r>
              <w:rPr>
                <w:rFonts w:hint="default" w:ascii="Times New Roman" w:hAnsi="Times New Roman" w:cs="Times New Roman"/>
                <w:b w:val="0"/>
                <w:bCs/>
                <w:sz w:val="20"/>
                <w:szCs w:val="20"/>
                <w:highlight w:val="cyan"/>
              </w:rPr>
              <w:t>For direct measurement event prediction, the model output is the probability of event occurrence within a time window.</w:t>
            </w:r>
          </w:p>
          <w:p w14:paraId="780C5C02">
            <w:pPr>
              <w:pStyle w:val="15"/>
              <w:numPr>
                <w:ilvl w:val="0"/>
                <w:numId w:val="7"/>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0D32BFAD">
            <w:pPr>
              <w:pStyle w:val="15"/>
              <w:numPr>
                <w:ilvl w:val="0"/>
                <w:numId w:val="7"/>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6EF00891">
            <w:pPr>
              <w:pStyle w:val="15"/>
              <w:numPr>
                <w:ilvl w:val="0"/>
                <w:numId w:val="8"/>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09858FC6">
            <w:pPr>
              <w:pStyle w:val="15"/>
              <w:numPr>
                <w:ilvl w:val="0"/>
                <w:numId w:val="8"/>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63E96463">
            <w:pPr>
              <w:pStyle w:val="15"/>
              <w:numPr>
                <w:ilvl w:val="0"/>
                <w:numId w:val="8"/>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BBD126B">
            <w:pPr>
              <w:pStyle w:val="15"/>
              <w:numPr>
                <w:ilvl w:val="0"/>
                <w:numId w:val="8"/>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2D7216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50ADC1E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647203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04F7B851">
            <w:pPr>
              <w:pStyle w:val="15"/>
              <w:ind w:left="363"/>
              <w:rPr>
                <w:rFonts w:hint="default" w:ascii="Times New Roman" w:hAnsi="Times New Roman" w:cs="Times New Roman"/>
                <w:sz w:val="20"/>
                <w:szCs w:val="20"/>
                <w:highlight w:val="cyan"/>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cyan"/>
              </w:rPr>
              <w:t xml:space="preserve">Agree to listed 4 definitions of indirect measurement event prediction </w:t>
            </w:r>
          </w:p>
          <w:p w14:paraId="2E66B160">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temporal domain case A:</w:t>
            </w:r>
          </w:p>
          <w:p w14:paraId="34AF8153">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C0111A3">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temporal domain case B:</w:t>
            </w:r>
          </w:p>
          <w:p w14:paraId="600E74CD">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25A3CD77">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frequency domain:</w:t>
            </w:r>
          </w:p>
          <w:p w14:paraId="180E24C7">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71A591E6">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spatial domain:</w:t>
            </w:r>
          </w:p>
          <w:p w14:paraId="77DB19D0">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cyan"/>
                <w:u w:val="single"/>
              </w:rPr>
              <w:t xml:space="preserve">and actual measurement results </w:t>
            </w:r>
            <w:r>
              <w:rPr>
                <w:rFonts w:hint="default" w:ascii="Times New Roman" w:hAnsi="Times New Roman" w:cs="Times New Roman"/>
                <w:sz w:val="20"/>
                <w:szCs w:val="20"/>
                <w:highlight w:val="cyan"/>
              </w:rPr>
              <w:t>are used to derive whether a measurement event at one time instance occurs, without further involvement of an AI/ML model</w:t>
            </w:r>
          </w:p>
          <w:p w14:paraId="2B7A4B1B">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0DA01F1B">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p w14:paraId="52D60F8C">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 xml:space="preserve">To agree following definition for true event prediction, false event detection and missed event detection for indirect measurement event prediction </w:t>
            </w:r>
          </w:p>
          <w:p w14:paraId="791F454C">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n3(true event prediction): it increases by 1 when a real event occurs around a predicted event with ETD, whose range is [0, maximum ETD] or vice versa</w:t>
            </w:r>
          </w:p>
          <w:p w14:paraId="3FB273D7">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n1(false event detection): it increases by 1 when no real event occurs around a predicted event with ETD, whose range is [0, maximum ETD]</w:t>
            </w:r>
          </w:p>
          <w:p w14:paraId="3C12C311">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n2(missed event detection): it increases by 1 when no event is predicted around a real event with ETD, whose range is [0, maximum ETD]</w:t>
            </w:r>
          </w:p>
          <w:p w14:paraId="36D2335A">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To agree following definition for true event prediction, false event detection and missed event detection for direct measurement event prediction </w:t>
            </w:r>
          </w:p>
          <w:p w14:paraId="3908C4CF">
            <w:pPr>
              <w:pStyle w:val="15"/>
              <w:ind w:left="363" w:firstLine="0"/>
              <w:rPr>
                <w:rFonts w:hint="default" w:ascii="Times New Roman" w:hAnsi="Times New Roman" w:cs="Times New Roman"/>
                <w:sz w:val="20"/>
                <w:szCs w:val="20"/>
              </w:rPr>
            </w:pPr>
            <w:r>
              <w:rPr>
                <w:rFonts w:hint="default" w:ascii="Times New Roman" w:hAnsi="Times New Roman" w:cs="Times New Roman"/>
                <w:sz w:val="20"/>
                <w:szCs w:val="20"/>
              </w:rPr>
              <w:t>Counter n3’ (true event prediction): it increases by 1 when a real event occurs within the occurrence window of predicted event whose possibility is higher than a predefined threshold</w:t>
            </w:r>
          </w:p>
          <w:p w14:paraId="20730D1F">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n1’ (false event detection): it increases by 1 when no real event occurs within the occurrence window of predicted event whose possibility is higher than a predefined threshold</w:t>
            </w:r>
          </w:p>
          <w:p w14:paraId="78CB2285">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n2’ (missed event detection): it increases by 1 when a real event occurs, but it doesn’t fall in the occurrence window of any predicted event whose possibility is higher than a predefined threshold</w:t>
            </w:r>
          </w:p>
          <w:p w14:paraId="23F8345D">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rPr>
              <w:t>Agree following definition of F1 score:</w:t>
            </w:r>
          </w:p>
          <w:p w14:paraId="03FDAAEE">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F1 score = 2*Precision*Recall/(Precision + Recall)</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Formula_3 (13/14)</w:t>
            </w:r>
          </w:p>
          <w:p w14:paraId="35932974">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rPr>
              <w:t>In addition to F1 score, precision and recall in following formula are optional metrics to report. (12/14)</w:t>
            </w:r>
          </w:p>
          <w:p w14:paraId="69AA1B6F">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Precision</w:t>
            </w:r>
            <w:r>
              <w:rPr>
                <w:rFonts w:hint="default" w:ascii="Times New Roman" w:hAnsi="Times New Roman" w:cs="Times New Roman"/>
                <w:sz w:val="20"/>
                <w:szCs w:val="20"/>
              </w:rPr>
              <w:tab/>
            </w:r>
            <w:r>
              <w:rPr>
                <w:rFonts w:hint="default" w:ascii="Times New Roman" w:hAnsi="Times New Roman" w:cs="Times New Roman"/>
                <w:sz w:val="20"/>
                <w:szCs w:val="20"/>
              </w:rPr>
              <w:t xml:space="preserve">= n3/(n1+n3) </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Formula_1</w:t>
            </w:r>
          </w:p>
          <w:p w14:paraId="3DEB586D">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 xml:space="preserve">Recall </w:t>
            </w:r>
            <w:r>
              <w:rPr>
                <w:rFonts w:hint="default" w:ascii="Times New Roman" w:hAnsi="Times New Roman" w:cs="Times New Roman"/>
                <w:sz w:val="20"/>
                <w:szCs w:val="20"/>
              </w:rPr>
              <w:tab/>
            </w:r>
            <w:r>
              <w:rPr>
                <w:rFonts w:hint="default" w:ascii="Times New Roman" w:hAnsi="Times New Roman" w:cs="Times New Roman"/>
                <w:sz w:val="20"/>
                <w:szCs w:val="20"/>
              </w:rPr>
              <w:t>=n3/(n2+n3)</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Formula_2</w:t>
            </w:r>
          </w:p>
          <w:p w14:paraId="08AC250B">
            <w:pPr>
              <w:pStyle w:val="15"/>
              <w:ind w:left="545"/>
              <w:rPr>
                <w:rFonts w:hint="default" w:ascii="Times New Roman" w:hAnsi="Times New Roman" w:cs="Times New Roman"/>
                <w:i/>
                <w:iCs/>
                <w:sz w:val="20"/>
                <w:szCs w:val="20"/>
              </w:rPr>
            </w:pPr>
            <w:r>
              <w:rPr>
                <w:rFonts w:hint="default" w:ascii="Times New Roman" w:hAnsi="Times New Roman" w:cs="Times New Roman"/>
                <w:i/>
                <w:iCs/>
                <w:sz w:val="20"/>
                <w:szCs w:val="20"/>
              </w:rPr>
              <w:t>Note: for direct prediction, the counter should be n1’,n2’,n3’</w:t>
            </w:r>
          </w:p>
          <w:p w14:paraId="692FF1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lang w:val="en-US" w:eastAsia="zh-CN"/>
              </w:rPr>
            </w:pPr>
          </w:p>
          <w:p w14:paraId="04644D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RAN2#129</w:t>
            </w:r>
          </w:p>
          <w:p w14:paraId="65AA208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Measurement event case A</w:t>
            </w:r>
          </w:p>
          <w:p w14:paraId="56B14EE9">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Most of the results show that the F1 score for prediction of measurement event is very good.   </w:t>
            </w:r>
          </w:p>
          <w:p w14:paraId="6CD8D387">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handover decision option 3 and 2 AI/ML performs better than baseline (legacy) in terms of HO failure rate.</w:t>
            </w:r>
          </w:p>
          <w:p w14:paraId="10F8A84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Measurement event case B</w:t>
            </w:r>
          </w:p>
          <w:p w14:paraId="7EA928E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Measurement event case B can have very good F1 score depending on filtering approach/PW </w:t>
            </w:r>
          </w:p>
          <w:p w14:paraId="5625A979">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is good for the PW window for case B (i.e. low PW)</w:t>
            </w:r>
          </w:p>
          <w:p w14:paraId="67A97EE2">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decreases with an increasing MRRT value</w:t>
            </w:r>
          </w:p>
          <w:p w14:paraId="6B68C546">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We will focus on finding cases that bring benefits to the system rather than trying to compare</w:t>
            </w:r>
          </w:p>
          <w:p w14:paraId="226AF80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With indirect measurement event prediction based on temporal domain Case B (MRRT=50%), the AI-based HO has a minor/no system-level performance (i.e., HOF rate and HO number) decrease compared with the legacy HO mechanism. </w:t>
            </w:r>
          </w:p>
          <w:p w14:paraId="42A50C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Other agreements</w:t>
            </w:r>
            <w:r>
              <w:rPr>
                <w:rFonts w:hint="default" w:ascii="Times New Roman" w:hAnsi="Times New Roman" w:eastAsia="等线" w:cs="Times New Roman"/>
                <w:bCs/>
                <w:iCs/>
                <w:sz w:val="20"/>
                <w:szCs w:val="20"/>
                <w:vertAlign w:val="baseline"/>
                <w:lang w:val="en-US" w:eastAsia="zh-CN"/>
              </w:rPr>
              <w:t xml:space="preserve"> </w:t>
            </w:r>
          </w:p>
          <w:p w14:paraId="4FE4820D">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Inter-frequency measurement event prediction will be considered for the specification impact study but no explicit simulations will be required.</w:t>
            </w:r>
          </w:p>
          <w:p w14:paraId="78F49A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Agreements on direct measurement event prediction</w:t>
            </w:r>
          </w:p>
          <w:p w14:paraId="1B759EE6">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for direct measurement is very good based on the current simulation results.</w:t>
            </w:r>
          </w:p>
          <w:p w14:paraId="4EA87439">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vertAlign w:val="baseline"/>
                <w:lang w:val="en-US" w:eastAsia="zh-CN"/>
              </w:rPr>
            </w:pPr>
          </w:p>
          <w:p w14:paraId="4279E20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RAN2#129</w:t>
            </w:r>
            <w:r>
              <w:rPr>
                <w:rFonts w:hint="eastAsia" w:ascii="Times New Roman" w:hAnsi="Times New Roman" w:cs="Times New Roman"/>
                <w:b/>
                <w:bCs/>
                <w:sz w:val="20"/>
                <w:szCs w:val="20"/>
                <w:u w:val="single"/>
                <w:lang w:val="en-US" w:eastAsia="zh-CN"/>
              </w:rPr>
              <w:t>bis</w:t>
            </w:r>
          </w:p>
          <w:p w14:paraId="4FB3EEC2">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RRM prediction, UE sided model, the UE can be configured with periodic or event triggered reporting of predicted and/or actual RRM measurements.   FFS details</w:t>
            </w:r>
          </w:p>
          <w:p w14:paraId="1F1AAFA7">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event prediction, UE-sided model, the UE can be configured with event-triggered reporting based on prediction and/or actual measurements.  FFS details</w:t>
            </w:r>
          </w:p>
          <w:p w14:paraId="127A6BAE">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sz w:val="20"/>
                <w:szCs w:val="20"/>
                <w:u w:val="single"/>
                <w:lang w:val="en-US" w:eastAsia="zh-CN"/>
              </w:rPr>
            </w:pPr>
            <w:r>
              <w:rPr>
                <w:rFonts w:hint="default" w:ascii="Times New Roman" w:hAnsi="Times New Roman" w:eastAsia="等线" w:cs="Times New Roman"/>
                <w:bCs/>
                <w:iCs/>
                <w:sz w:val="20"/>
                <w:szCs w:val="20"/>
                <w:vertAlign w:val="baseline"/>
                <w:lang w:val="en-US" w:eastAsia="zh-CN"/>
              </w:rPr>
              <w:t>Baseline is that this applies to all A1-6 events, unless technical problems are identified.  Baseline quantity is RSRP.</w:t>
            </w:r>
          </w:p>
        </w:tc>
      </w:tr>
    </w:tbl>
    <w:p w14:paraId="5A2EAFD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7917CF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RAN2 agreed the definition of indirect measurement event prediction for intra-frequency temporal domain case A, intra-frequency temporal domain case B, frequency domain and spatial domain.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w:t>
      </w:r>
      <w:r>
        <w:rPr>
          <w:rFonts w:hint="default" w:ascii="Times New Roman" w:hAnsi="Times New Roman" w:eastAsia="等线" w:cs="Times New Roman"/>
          <w:bCs/>
          <w:iCs/>
          <w:sz w:val="20"/>
          <w:szCs w:val="20"/>
          <w:lang w:val="en-US" w:eastAsia="zh-CN"/>
        </w:rPr>
        <w:t>For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It can be seen that for indirect measurement event prediction,the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can be reused.</w:t>
      </w:r>
    </w:p>
    <w:p w14:paraId="7CB4A2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summary, for indirect measurement event prediction, if the report includes the predicted RSRPs, it is necessary to define requirements for the predicted RSRPs, since the reported predicted RSRPs is useful for network.  And the conclusion on RRM measurement prediction can be reused. </w:t>
      </w:r>
    </w:p>
    <w:p w14:paraId="0C661B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highlight w:val="none"/>
          <w:lang w:val="en-US" w:eastAsia="zh-CN"/>
        </w:rPr>
        <w:t xml:space="preserve">Proposal 1: for impact on core requirements </w:t>
      </w:r>
      <w:r>
        <w:rPr>
          <w:rFonts w:hint="eastAsia" w:ascii="Times New Roman" w:hAnsi="Times New Roman" w:eastAsia="等线" w:cs="Times New Roman"/>
          <w:b/>
          <w:bCs w:val="0"/>
          <w:i/>
          <w:iCs w:val="0"/>
          <w:sz w:val="20"/>
          <w:szCs w:val="20"/>
          <w:lang w:val="en-US" w:eastAsia="zh-CN"/>
        </w:rPr>
        <w:t>for indirect measurement event prediction, it is proposed to reuse the conclusion on the absolute and/or relative accuracy of predicted RSRP for RRM measurement prediction.</w:t>
      </w:r>
    </w:p>
    <w:p w14:paraId="6EB64EE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direct measurement event prediction, the model output is the probability of event occurrence within a time window. And for indirect </w:t>
      </w:r>
      <w:r>
        <w:rPr>
          <w:rFonts w:hint="default" w:ascii="Times New Roman" w:hAnsi="Times New Roman" w:eastAsia="等线" w:cs="Times New Roman"/>
          <w:bCs/>
          <w:iCs/>
          <w:sz w:val="20"/>
          <w:szCs w:val="20"/>
          <w:lang w:val="en-US" w:eastAsia="zh-CN"/>
        </w:rPr>
        <w:t>measurement event prediction, final output is the expected occurrence time of a certain measurement event</w:t>
      </w:r>
      <w:r>
        <w:rPr>
          <w:rFonts w:hint="eastAsia" w:ascii="Times New Roman" w:hAnsi="Times New Roman" w:eastAsia="等线" w:cs="Times New Roman"/>
          <w:bCs/>
          <w:iCs/>
          <w:sz w:val="20"/>
          <w:szCs w:val="20"/>
          <w:lang w:val="en-US" w:eastAsia="zh-CN"/>
        </w:rPr>
        <w:t xml:space="preserve">. In legacy, there is no RAN4 requirements on the </w:t>
      </w:r>
      <w:r>
        <w:rPr>
          <w:rFonts w:hint="eastAsia" w:ascii="Times New Roman" w:hAnsi="Times New Roman" w:eastAsia="等线"/>
          <w:bCs/>
          <w:iCs/>
          <w:sz w:val="20"/>
          <w:szCs w:val="20"/>
          <w:lang w:val="en-US" w:eastAsia="zh-CN"/>
        </w:rPr>
        <w:t xml:space="preserve">probability of event occurrence or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75DB2688">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b/>
          <w:bCs w:val="0"/>
          <w:i/>
          <w:iCs w:val="0"/>
          <w:sz w:val="20"/>
          <w:szCs w:val="20"/>
          <w:highlight w:val="none"/>
          <w:lang w:val="en-US" w:eastAsia="zh-CN"/>
        </w:rPr>
        <w:t xml:space="preserve">for impact on core requirements </w:t>
      </w:r>
      <w:r>
        <w:rPr>
          <w:rFonts w:hint="eastAsia" w:ascii="Times New Roman" w:hAnsi="Times New Roman" w:eastAsia="等线" w:cs="Times New Roman"/>
          <w:b/>
          <w:bCs w:val="0"/>
          <w:i/>
          <w:iCs w:val="0"/>
          <w:sz w:val="20"/>
          <w:szCs w:val="20"/>
          <w:lang w:val="en-US" w:eastAsia="zh-CN"/>
        </w:rPr>
        <w:t xml:space="preserve">for the direct measurement event prediction, it is proposed to discuss whether and how to define RRM requirements for the final output (e.g. the </w:t>
      </w:r>
      <w:r>
        <w:rPr>
          <w:rFonts w:hint="eastAsia" w:ascii="Times New Roman" w:hAnsi="Times New Roman" w:eastAsia="等线"/>
          <w:b/>
          <w:bCs w:val="0"/>
          <w:i/>
          <w:iCs w:val="0"/>
          <w:sz w:val="20"/>
          <w:szCs w:val="20"/>
          <w:lang w:val="en-US" w:eastAsia="zh-CN"/>
        </w:rPr>
        <w:t xml:space="preserve">probability of event occurrence for direct prediction or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99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C42814">
            <w:pPr>
              <w:bidi w:val="0"/>
              <w:rPr>
                <w:rFonts w:hint="default" w:ascii="Times New Roman" w:hAnsi="Times New Roman" w:cs="Times New Roman"/>
                <w:b/>
                <w:bCs/>
                <w:sz w:val="20"/>
                <w:szCs w:val="20"/>
                <w:highlight w:val="none"/>
              </w:rPr>
            </w:pPr>
            <w:bookmarkStart w:id="9" w:name="_Hlk194652962"/>
            <w:r>
              <w:rPr>
                <w:rFonts w:hint="default" w:ascii="Times New Roman" w:hAnsi="Times New Roman" w:cs="Times New Roman"/>
                <w:b/>
                <w:bCs/>
                <w:sz w:val="20"/>
                <w:szCs w:val="20"/>
                <w:highlight w:val="none"/>
              </w:rPr>
              <w:t>Issue 3-2: Impact of measurement error for event prediction use case</w:t>
            </w:r>
          </w:p>
          <w:bookmarkEnd w:id="9"/>
          <w:p w14:paraId="54426A18">
            <w:pPr>
              <w:pStyle w:val="12"/>
              <w:numPr>
                <w:ilvl w:val="0"/>
                <w:numId w:val="10"/>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Proposals and Observations:</w:t>
            </w:r>
          </w:p>
          <w:p w14:paraId="4B864142">
            <w:pPr>
              <w:pStyle w:val="12"/>
              <w:numPr>
                <w:ilvl w:val="1"/>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Proposal 1 (ZTE): Measurement error should be considered into measurement event prediction, which will impact the prediction accuracy.</w:t>
            </w:r>
          </w:p>
          <w:p w14:paraId="24C13CB0">
            <w:pPr>
              <w:pStyle w:val="12"/>
              <w:numPr>
                <w:ilvl w:val="1"/>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2 (CMCC): Whether measurement error is considered for event prediction use case can be considered case by case. </w:t>
            </w:r>
          </w:p>
          <w:p w14:paraId="40640DBD">
            <w:pPr>
              <w:pStyle w:val="12"/>
              <w:numPr>
                <w:ilvl w:val="2"/>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the conclusion on how to handle the measurement error for RRM prediction mode can be reused.</w:t>
            </w:r>
          </w:p>
          <w:p w14:paraId="43875882">
            <w:pPr>
              <w:pStyle w:val="12"/>
              <w:numPr>
                <w:ilvl w:val="2"/>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direct measurement event prediction, whether to consider the impact due to measurement error depends on the model input.</w:t>
            </w:r>
          </w:p>
          <w:p w14:paraId="69ACB5A1">
            <w:pPr>
              <w:pStyle w:val="12"/>
              <w:numPr>
                <w:ilvl w:val="2"/>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If the model input does not include measured RSRP, no need to consider measurement error. Otherwise, measurement error may have impact on prediction performance.</w:t>
            </w:r>
          </w:p>
          <w:p w14:paraId="47E6CB24">
            <w:pPr>
              <w:pStyle w:val="12"/>
              <w:numPr>
                <w:ilvl w:val="1"/>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3 (Apple): </w:t>
            </w:r>
          </w:p>
          <w:p w14:paraId="4C512A7A">
            <w:pPr>
              <w:pStyle w:val="12"/>
              <w:numPr>
                <w:ilvl w:val="2"/>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RAN4 to discuss the modelling of measurement errors and their impact to evaluate AI/ML event prediction benefits compared to sample-and-hold and the impact to false detection of events (higher cost) </w:t>
            </w:r>
          </w:p>
          <w:p w14:paraId="1703FEC8">
            <w:pPr>
              <w:pStyle w:val="12"/>
              <w:numPr>
                <w:ilvl w:val="2"/>
                <w:numId w:val="10"/>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RAN4 to discuss the modeling and impact of measurement errors to the prediction accuracy (i.e., F1 score)</w:t>
            </w:r>
          </w:p>
          <w:p w14:paraId="0BF5BCBB">
            <w:pPr>
              <w:pStyle w:val="12"/>
              <w:numPr>
                <w:ilvl w:val="2"/>
                <w:numId w:val="10"/>
              </w:numPr>
              <w:spacing w:before="120" w:after="120"/>
              <w:ind w:firstLineChars="0"/>
              <w:rPr>
                <w:rFonts w:hint="default" w:ascii="Times New Roman" w:hAnsi="Times New Roman" w:eastAsia="等线" w:cs="Times New Roman"/>
                <w:b/>
                <w:bCs w:val="0"/>
                <w:i/>
                <w:iCs w:val="0"/>
                <w:sz w:val="20"/>
                <w:szCs w:val="20"/>
                <w:highlight w:val="none"/>
                <w:vertAlign w:val="baseline"/>
                <w:lang w:val="en-US" w:eastAsia="zh-CN"/>
              </w:rPr>
            </w:pPr>
            <w:r>
              <w:rPr>
                <w:rFonts w:hint="default" w:ascii="Times New Roman" w:hAnsi="Times New Roman" w:eastAsia="Yu Mincho" w:cs="Times New Roman"/>
                <w:sz w:val="20"/>
                <w:szCs w:val="20"/>
                <w:highlight w:val="none"/>
              </w:rPr>
              <w:t>RAN4 to investigate modelling measurement errors as a function of SINR. This analysis must account for variations in propagation environments across serving and neighboring cells, as measurement errors are inherently influenced by cell-specific SINR conditions.</w:t>
            </w:r>
          </w:p>
        </w:tc>
      </w:tr>
    </w:tbl>
    <w:p w14:paraId="36CB8A42">
      <w:pPr>
        <w:spacing w:after="180" w:line="240" w:lineRule="exact"/>
        <w:rPr>
          <w:rFonts w:hint="default" w:ascii="Times New Roman" w:hAnsi="Times New Roman" w:eastAsia="等线" w:cs="Times New Roman"/>
          <w:b/>
          <w:bCs w:val="0"/>
          <w:i/>
          <w:iCs w:val="0"/>
          <w:sz w:val="20"/>
          <w:szCs w:val="20"/>
          <w:lang w:val="en-US" w:eastAsia="zh-CN"/>
        </w:rPr>
      </w:pPr>
    </w:p>
    <w:p w14:paraId="41C30CF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Whether measurement error is considered for event prediction use case can be considered case by case. In indirect measurement event prediction, future measurement result(s) is predicted by a RRM measurement prediction model for at first. Afterwards, predicted and optionally actual historical measurement result(s) are used to derive whether a measurement event at one future time instance occurs, without further involvement of an AI/ML model. It ca be seen that the AI/ML model is only used for RRM prediction model, which means for indirect measurement event prediction, the conclusion on how to handle the measurement error for RRM prediction mode can be reused. In direct measurement event prediction, whether to consider the impact due to measurement error depends on the model input. If the model input does not include measured RSRP, e.g. the model input is only the information related with measurement event, no need to consider measurement error. If the model input includes measured RSRP, it is assumed that measurement error will have impact on prediction perfromance. </w:t>
      </w:r>
    </w:p>
    <w:p w14:paraId="1B571D3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Whether measurement error is considered for event prediction use case can be considered case by case. </w:t>
      </w:r>
    </w:p>
    <w:p w14:paraId="6CB024B6">
      <w:pPr>
        <w:numPr>
          <w:ilvl w:val="0"/>
          <w:numId w:val="11"/>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indirect measurement event prediction, the conclusion on how to handle the measurement error for RRM prediction mode can be reused.</w:t>
      </w:r>
    </w:p>
    <w:p w14:paraId="77F958E3">
      <w:pPr>
        <w:numPr>
          <w:ilvl w:val="0"/>
          <w:numId w:val="11"/>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direct measurement event prediction, whether to consider the impact due to measurement error depends on the model input.</w:t>
      </w:r>
    </w:p>
    <w:p w14:paraId="6C081D7C">
      <w:pPr>
        <w:numPr>
          <w:ilvl w:val="0"/>
          <w:numId w:val="12"/>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model input does not include measured RSRP, no need to consider measurement error. Otherwise, measurement error may have impact on prediction perfromance.</w:t>
      </w:r>
    </w:p>
    <w:p w14:paraId="0465AA55">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eastAsia="宋体"/>
          <w:sz w:val="20"/>
          <w:szCs w:val="20"/>
          <w:lang w:val="en-US" w:eastAsia="zh-CN"/>
        </w:rPr>
        <w:t>RAN4 impacts for measurement event prediction</w:t>
      </w:r>
      <w:r>
        <w:rPr>
          <w:rFonts w:hint="eastAsia" w:ascii="Times New Roman" w:hAnsi="Times New Roman" w:eastAsia="宋体"/>
          <w:sz w:val="20"/>
          <w:szCs w:val="20"/>
        </w:rPr>
        <w:t>. The proposals are:</w:t>
      </w:r>
    </w:p>
    <w:p w14:paraId="3A4A7F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highlight w:val="none"/>
          <w:lang w:val="en-US" w:eastAsia="zh-CN"/>
        </w:rPr>
        <w:t xml:space="preserve">Proposal 1: for impact on core requirements </w:t>
      </w:r>
      <w:r>
        <w:rPr>
          <w:rFonts w:hint="eastAsia" w:ascii="Times New Roman" w:hAnsi="Times New Roman" w:eastAsia="等线" w:cs="Times New Roman"/>
          <w:b/>
          <w:bCs w:val="0"/>
          <w:i/>
          <w:iCs w:val="0"/>
          <w:sz w:val="20"/>
          <w:szCs w:val="20"/>
          <w:lang w:val="en-US" w:eastAsia="zh-CN"/>
        </w:rPr>
        <w:t>for indirect measurement event prediction, it is proposed to reuse the conclusion on the absolute and/or relative accuracy of predicted RSRP for RRM measurement prediction.</w:t>
      </w:r>
    </w:p>
    <w:p w14:paraId="5DF24790">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b/>
          <w:bCs w:val="0"/>
          <w:i/>
          <w:iCs w:val="0"/>
          <w:sz w:val="20"/>
          <w:szCs w:val="20"/>
          <w:highlight w:val="none"/>
          <w:lang w:val="en-US" w:eastAsia="zh-CN"/>
        </w:rPr>
        <w:t xml:space="preserve">for impact on core requirements </w:t>
      </w:r>
      <w:r>
        <w:rPr>
          <w:rFonts w:hint="eastAsia" w:ascii="Times New Roman" w:hAnsi="Times New Roman" w:eastAsia="等线" w:cs="Times New Roman"/>
          <w:b/>
          <w:bCs w:val="0"/>
          <w:i/>
          <w:iCs w:val="0"/>
          <w:sz w:val="20"/>
          <w:szCs w:val="20"/>
          <w:lang w:val="en-US" w:eastAsia="zh-CN"/>
        </w:rPr>
        <w:t xml:space="preserve">for the direct measurement event prediction, it is proposed to discuss whether and how to define RRM requirements for the final output (e.g. the </w:t>
      </w:r>
      <w:r>
        <w:rPr>
          <w:rFonts w:hint="eastAsia" w:ascii="Times New Roman" w:hAnsi="Times New Roman" w:eastAsia="等线"/>
          <w:b/>
          <w:bCs w:val="0"/>
          <w:i/>
          <w:iCs w:val="0"/>
          <w:sz w:val="20"/>
          <w:szCs w:val="20"/>
          <w:lang w:val="en-US" w:eastAsia="zh-CN"/>
        </w:rPr>
        <w:t xml:space="preserve">probability of event occurrence for direct prediction or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0284873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Whether measurement error is considered for event prediction use case can be considered case by case. </w:t>
      </w:r>
    </w:p>
    <w:p w14:paraId="1B3E4B19">
      <w:pPr>
        <w:numPr>
          <w:ilvl w:val="0"/>
          <w:numId w:val="11"/>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indirect measurement event prediction, the conclusion on how to handle the measurement error for RRM prediction mode can be reused.</w:t>
      </w:r>
    </w:p>
    <w:p w14:paraId="66E171BB">
      <w:pPr>
        <w:numPr>
          <w:ilvl w:val="0"/>
          <w:numId w:val="11"/>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direct measurement event prediction, whether to consider the impact due to measurement error depends on the model input.</w:t>
      </w:r>
    </w:p>
    <w:p w14:paraId="5DEAA2A9">
      <w:pPr>
        <w:numPr>
          <w:ilvl w:val="0"/>
          <w:numId w:val="12"/>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model input does not include measured RSRP, no need to consider measurement error. Otherwise, measurement error may have impact on prediction perfromance.</w:t>
      </w:r>
    </w:p>
    <w:p w14:paraId="28AF45B9">
      <w:pPr>
        <w:tabs>
          <w:tab w:val="left" w:pos="1134"/>
        </w:tabs>
        <w:spacing w:after="180" w:line="240" w:lineRule="exact"/>
        <w:rPr>
          <w:rFonts w:hint="eastAsia" w:ascii="Times New Roman" w:hAnsi="Times New Roman" w:eastAsia="宋体"/>
          <w:sz w:val="20"/>
          <w:szCs w:val="20"/>
        </w:rPr>
      </w:pPr>
      <w:bookmarkStart w:id="10" w:name="_GoBack"/>
      <w:bookmarkEnd w:id="10"/>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5BDD4BA">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R4-2508268</w:t>
      </w:r>
      <w:r>
        <w:rPr>
          <w:rFonts w:hint="eastAsia" w:ascii="Times" w:hAnsi="Times" w:eastAsia="宋体"/>
          <w:b w:val="0"/>
          <w:sz w:val="20"/>
          <w:lang w:val="en-US" w:eastAsia="zh-CN"/>
        </w:rPr>
        <w:t>, WF on AI/ML Mobility Part 1, Nokia</w:t>
      </w:r>
    </w:p>
    <w:p w14:paraId="0D5AD8A5">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63D64F6">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E3997"/>
    <w:multiLevelType w:val="multilevel"/>
    <w:tmpl w:val="A3AE3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algun Gothic" w:hAnsi="Malgun Gothic"/>
      </w:rPr>
    </w:lvl>
    <w:lvl w:ilvl="2" w:tentative="0">
      <w:start w:val="1"/>
      <w:numFmt w:val="bullet"/>
      <w:lvlText w:val=""/>
      <w:lvlJc w:val="left"/>
      <w:pPr>
        <w:tabs>
          <w:tab w:val="left" w:pos="1260"/>
        </w:tabs>
        <w:ind w:left="1260" w:leftChars="0" w:hanging="420" w:firstLineChars="0"/>
      </w:pPr>
      <w:rPr>
        <w:rFonts w:hint="default" w:ascii="Malgun Gothic" w:hAnsi="Malgun Gothic"/>
      </w:rPr>
    </w:lvl>
    <w:lvl w:ilvl="3" w:tentative="0">
      <w:start w:val="1"/>
      <w:numFmt w:val="bullet"/>
      <w:lvlText w:val=""/>
      <w:lvlJc w:val="left"/>
      <w:pPr>
        <w:tabs>
          <w:tab w:val="left" w:pos="1680"/>
        </w:tabs>
        <w:ind w:left="1680" w:leftChars="0" w:hanging="420" w:firstLineChars="0"/>
      </w:pPr>
      <w:rPr>
        <w:rFonts w:hint="default" w:ascii="Malgun Gothic" w:hAnsi="Malgun Gothic"/>
      </w:rPr>
    </w:lvl>
    <w:lvl w:ilvl="4" w:tentative="0">
      <w:start w:val="1"/>
      <w:numFmt w:val="bullet"/>
      <w:lvlText w:val=""/>
      <w:lvlJc w:val="left"/>
      <w:pPr>
        <w:tabs>
          <w:tab w:val="left" w:pos="2100"/>
        </w:tabs>
        <w:ind w:left="2100" w:leftChars="0" w:hanging="420" w:firstLineChars="0"/>
      </w:pPr>
      <w:rPr>
        <w:rFonts w:hint="default" w:ascii="Malgun Gothic" w:hAnsi="Malgun Gothic"/>
      </w:rPr>
    </w:lvl>
    <w:lvl w:ilvl="5" w:tentative="0">
      <w:start w:val="1"/>
      <w:numFmt w:val="bullet"/>
      <w:lvlText w:val=""/>
      <w:lvlJc w:val="left"/>
      <w:pPr>
        <w:tabs>
          <w:tab w:val="left" w:pos="2520"/>
        </w:tabs>
        <w:ind w:left="2520" w:leftChars="0" w:hanging="420" w:firstLineChars="0"/>
      </w:pPr>
      <w:rPr>
        <w:rFonts w:hint="default" w:ascii="Malgun Gothic" w:hAnsi="Malgun Gothic"/>
      </w:rPr>
    </w:lvl>
    <w:lvl w:ilvl="6" w:tentative="0">
      <w:start w:val="1"/>
      <w:numFmt w:val="bullet"/>
      <w:lvlText w:val=""/>
      <w:lvlJc w:val="left"/>
      <w:pPr>
        <w:tabs>
          <w:tab w:val="left" w:pos="2940"/>
        </w:tabs>
        <w:ind w:left="2940" w:leftChars="0" w:hanging="420" w:firstLineChars="0"/>
      </w:pPr>
      <w:rPr>
        <w:rFonts w:hint="default" w:ascii="Malgun Gothic" w:hAnsi="Malgun Gothic"/>
      </w:rPr>
    </w:lvl>
    <w:lvl w:ilvl="7" w:tentative="0">
      <w:start w:val="1"/>
      <w:numFmt w:val="bullet"/>
      <w:lvlText w:val=""/>
      <w:lvlJc w:val="left"/>
      <w:pPr>
        <w:tabs>
          <w:tab w:val="left" w:pos="3360"/>
        </w:tabs>
        <w:ind w:left="3360" w:leftChars="0" w:hanging="420" w:firstLineChars="0"/>
      </w:pPr>
      <w:rPr>
        <w:rFonts w:hint="default" w:ascii="Malgun Gothic" w:hAnsi="Malgun Gothic"/>
      </w:rPr>
    </w:lvl>
    <w:lvl w:ilvl="8" w:tentative="0">
      <w:start w:val="1"/>
      <w:numFmt w:val="bullet"/>
      <w:lvlText w:val=""/>
      <w:lvlJc w:val="left"/>
      <w:pPr>
        <w:tabs>
          <w:tab w:val="left" w:pos="3780"/>
        </w:tabs>
        <w:ind w:left="3780" w:leftChars="0" w:hanging="420" w:firstLineChars="0"/>
      </w:pPr>
      <w:rPr>
        <w:rFonts w:hint="default" w:ascii="Malgun Gothic" w:hAnsi="Malgun Gothic"/>
      </w:rPr>
    </w:lvl>
  </w:abstractNum>
  <w:abstractNum w:abstractNumId="1">
    <w:nsid w:val="E792CB08"/>
    <w:multiLevelType w:val="singleLevel"/>
    <w:tmpl w:val="E792CB08"/>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0A753BF9"/>
    <w:multiLevelType w:val="singleLevel"/>
    <w:tmpl w:val="0A753BF9"/>
    <w:lvl w:ilvl="0" w:tentative="0">
      <w:start w:val="1"/>
      <w:numFmt w:val="bullet"/>
      <w:lvlText w:val=""/>
      <w:lvlJc w:val="left"/>
      <w:pPr>
        <w:ind w:left="420" w:hanging="420"/>
      </w:pPr>
      <w:rPr>
        <w:rFonts w:hint="default" w:ascii="Wingdings" w:hAnsi="Wingdings"/>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AA8A1EF"/>
    <w:multiLevelType w:val="singleLevel"/>
    <w:tmpl w:val="2AA8A1EF"/>
    <w:lvl w:ilvl="0" w:tentative="0">
      <w:start w:val="1"/>
      <w:numFmt w:val="bullet"/>
      <w:lvlText w:val=""/>
      <w:lvlJc w:val="left"/>
      <w:pPr>
        <w:tabs>
          <w:tab w:val="left" w:pos="420"/>
        </w:tabs>
        <w:ind w:left="840" w:hanging="420"/>
      </w:pPr>
      <w:rPr>
        <w:rFonts w:hint="default" w:ascii="Wingdings" w:hAnsi="Wingdings"/>
      </w:rPr>
    </w:lvl>
  </w:abstractNum>
  <w:abstractNum w:abstractNumId="7">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8913D23"/>
    <w:multiLevelType w:val="singleLevel"/>
    <w:tmpl w:val="78913D23"/>
    <w:lvl w:ilvl="0" w:tentative="0">
      <w:start w:val="1"/>
      <w:numFmt w:val="bullet"/>
      <w:lvlText w:val=""/>
      <w:lvlJc w:val="left"/>
      <w:pPr>
        <w:ind w:left="420" w:hanging="420"/>
      </w:pPr>
      <w:rPr>
        <w:rFonts w:hint="default" w:ascii="Wingdings" w:hAnsi="Wingdings"/>
      </w:rPr>
    </w:lvl>
  </w:abstractNum>
  <w:num w:numId="1">
    <w:abstractNumId w:val="11"/>
  </w:num>
  <w:num w:numId="2">
    <w:abstractNumId w:val="10"/>
  </w:num>
  <w:num w:numId="3">
    <w:abstractNumId w:val="5"/>
  </w:num>
  <w:num w:numId="4">
    <w:abstractNumId w:val="4"/>
  </w:num>
  <w:num w:numId="5">
    <w:abstractNumId w:val="12"/>
  </w:num>
  <w:num w:numId="6">
    <w:abstractNumId w:val="1"/>
  </w:num>
  <w:num w:numId="7">
    <w:abstractNumId w:val="9"/>
  </w:num>
  <w:num w:numId="8">
    <w:abstractNumId w:val="7"/>
  </w:num>
  <w:num w:numId="9">
    <w:abstractNumId w:val="3"/>
  </w:num>
  <w:num w:numId="10">
    <w:abstractNumId w:val="8"/>
  </w:num>
  <w:num w:numId="11">
    <w:abstractNumId w:val="0"/>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5581271"/>
    <w:rsid w:val="05611098"/>
    <w:rsid w:val="05697CEB"/>
    <w:rsid w:val="0659725C"/>
    <w:rsid w:val="08320503"/>
    <w:rsid w:val="095F3199"/>
    <w:rsid w:val="0A632019"/>
    <w:rsid w:val="0AB2039C"/>
    <w:rsid w:val="0E3634E0"/>
    <w:rsid w:val="11144517"/>
    <w:rsid w:val="12E4180D"/>
    <w:rsid w:val="13BE2E36"/>
    <w:rsid w:val="13D33102"/>
    <w:rsid w:val="13E54515"/>
    <w:rsid w:val="154B4C98"/>
    <w:rsid w:val="17C90DC6"/>
    <w:rsid w:val="192432CE"/>
    <w:rsid w:val="197233CD"/>
    <w:rsid w:val="1A015FF9"/>
    <w:rsid w:val="1E262080"/>
    <w:rsid w:val="1EA13FCF"/>
    <w:rsid w:val="208B1571"/>
    <w:rsid w:val="20A67B9D"/>
    <w:rsid w:val="219168A1"/>
    <w:rsid w:val="21B75A90"/>
    <w:rsid w:val="21F229A5"/>
    <w:rsid w:val="22F84732"/>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E312B6"/>
    <w:rsid w:val="3850290E"/>
    <w:rsid w:val="39A706A6"/>
    <w:rsid w:val="3AF811CC"/>
    <w:rsid w:val="3FF257A0"/>
    <w:rsid w:val="40BA0E25"/>
    <w:rsid w:val="41597CC1"/>
    <w:rsid w:val="44ED5522"/>
    <w:rsid w:val="45251780"/>
    <w:rsid w:val="486C7D0F"/>
    <w:rsid w:val="48765EF0"/>
    <w:rsid w:val="48BC1FC7"/>
    <w:rsid w:val="48BD345D"/>
    <w:rsid w:val="4A924F66"/>
    <w:rsid w:val="4AAA7A11"/>
    <w:rsid w:val="4CB30463"/>
    <w:rsid w:val="4D0F52FA"/>
    <w:rsid w:val="4F01352B"/>
    <w:rsid w:val="50AC3D18"/>
    <w:rsid w:val="517D38BF"/>
    <w:rsid w:val="521A547C"/>
    <w:rsid w:val="539B5A3F"/>
    <w:rsid w:val="56582839"/>
    <w:rsid w:val="5798278D"/>
    <w:rsid w:val="595545B4"/>
    <w:rsid w:val="59A65848"/>
    <w:rsid w:val="5AAC5686"/>
    <w:rsid w:val="5C491F27"/>
    <w:rsid w:val="5CF63611"/>
    <w:rsid w:val="5E176D14"/>
    <w:rsid w:val="606210AF"/>
    <w:rsid w:val="617674D6"/>
    <w:rsid w:val="61D06D08"/>
    <w:rsid w:val="61DF3A9F"/>
    <w:rsid w:val="652470FF"/>
    <w:rsid w:val="676E7F3D"/>
    <w:rsid w:val="67A4673A"/>
    <w:rsid w:val="6AFE6DF4"/>
    <w:rsid w:val="6B2F50E5"/>
    <w:rsid w:val="6C642F64"/>
    <w:rsid w:val="6D7D0F66"/>
    <w:rsid w:val="6DB122F8"/>
    <w:rsid w:val="6F9F112C"/>
    <w:rsid w:val="71997D14"/>
    <w:rsid w:val="71A82806"/>
    <w:rsid w:val="738B299C"/>
    <w:rsid w:val="738F6E24"/>
    <w:rsid w:val="73C17630"/>
    <w:rsid w:val="73F67ACD"/>
    <w:rsid w:val="75A5650E"/>
    <w:rsid w:val="770B4D24"/>
    <w:rsid w:val="77B91A3C"/>
    <w:rsid w:val="77F160D3"/>
    <w:rsid w:val="79670D3F"/>
    <w:rsid w:val="79DA1477"/>
    <w:rsid w:val="7C187D5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